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FC4E0C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АО «</w:t>
            </w:r>
            <w:proofErr w:type="gramStart"/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Казахский</w:t>
            </w:r>
            <w:proofErr w:type="gramEnd"/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научно – исследовательский </w:t>
            </w:r>
          </w:p>
          <w:p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1C8F69A5" wp14:editId="44D491AB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7" w:rsidRPr="00C73D79" w:rsidRDefault="00FC4E0C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9455FE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945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Экспертиза 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диссертационных работ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FC4E0C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A668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A668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A668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727AD0" w:rsidP="005360F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9E1F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9455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DE29A7" w:rsidRPr="00C73D79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tbl>
      <w:tblPr>
        <w:tblW w:w="1016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04"/>
        <w:gridCol w:w="2878"/>
        <w:gridCol w:w="6594"/>
        <w:gridCol w:w="314"/>
        <w:gridCol w:w="274"/>
      </w:tblGrid>
      <w:tr w:rsidR="001A4C16" w:rsidRPr="00047DFA" w:rsidTr="00FA6249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p w:rsidR="001A4C16" w:rsidRPr="001A4C16" w:rsidRDefault="001A4C16" w:rsidP="00FA624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1A4C16" w:rsidRPr="00047DFA" w:rsidTr="00FA6249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7650"/>
            </w:tblGrid>
            <w:tr w:rsidR="001A4C16" w:rsidRPr="00FC4E0C" w:rsidTr="00FA624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A4C16" w:rsidRPr="001A4C16" w:rsidRDefault="001A4C16" w:rsidP="00FA624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1A4C1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A4C16" w:rsidRPr="001A4C16" w:rsidRDefault="001A4C16" w:rsidP="00FA624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Описать процедуру экспертизы и одобрения исследований с медицинскими приборами/оборудованием, представленными в </w:t>
                  </w:r>
                  <w:proofErr w:type="gramStart"/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ЭК</w:t>
                  </w:r>
                  <w:proofErr w:type="gramEnd"/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1A4C16" w:rsidRPr="00FC4E0C" w:rsidTr="00FA624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4C16" w:rsidRPr="001A4C16" w:rsidRDefault="001A4C16" w:rsidP="00FA624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1A4C1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1A4C1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4C1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A4C16" w:rsidRPr="001A4C16" w:rsidRDefault="001A4C16" w:rsidP="00FA624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Данный</w:t>
                  </w:r>
                  <w:proofErr w:type="gramEnd"/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СОП применим к представлению и экспертизе протоколов с вовлечением людей для изучения новых медицинских приборов.</w:t>
                  </w:r>
                </w:p>
              </w:tc>
            </w:tr>
            <w:tr w:rsidR="001A4C16" w:rsidRPr="00FC4E0C" w:rsidTr="00FA624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A4C16" w:rsidRPr="001A4C16" w:rsidRDefault="001A4C16" w:rsidP="00FA624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1A4C1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A4C16" w:rsidRPr="001A4C16" w:rsidRDefault="001A4C16" w:rsidP="00FA6249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Во время экспертизы исследований медицинских приборов </w:t>
                  </w:r>
                  <w:proofErr w:type="gramStart"/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ЭК</w:t>
                  </w:r>
                  <w:proofErr w:type="gramEnd"/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может принимать другие решения, чем те, которые принимаются при клинических испытаниях лекарственных средств. </w:t>
                  </w:r>
                  <w:proofErr w:type="gramStart"/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ЭК</w:t>
                  </w:r>
                  <w:proofErr w:type="gramEnd"/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должен определить, имеет ли предполагаемое исследование значительный риск (ЗР) или незначительный риск (НЗР), затем ЭК должен решить, разрешить  исследование или нет. При определении ЗР или НЗР, </w:t>
                  </w:r>
                  <w:proofErr w:type="gramStart"/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ЭК</w:t>
                  </w:r>
                  <w:proofErr w:type="gramEnd"/>
                  <w:r w:rsidRPr="001A4C16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должен рассмотреть всю информацию представленную спонсором.  </w:t>
                  </w:r>
                </w:p>
              </w:tc>
            </w:tr>
            <w:tr w:rsidR="001A4C16" w:rsidRPr="00FC4E0C" w:rsidTr="00FA6249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A4C16" w:rsidRPr="001A4C16" w:rsidRDefault="001A4C16" w:rsidP="00FA6249">
                  <w:pPr>
                    <w:tabs>
                      <w:tab w:val="left" w:pos="3045"/>
                      <w:tab w:val="center" w:pos="4677"/>
                    </w:tabs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1A4C16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1A4C16" w:rsidRPr="001A4C16" w:rsidTr="00FA624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4C16" w:rsidRPr="001A4C16" w:rsidRDefault="001A4C16" w:rsidP="00FA624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A4C16" w:rsidRPr="001A4C16" w:rsidRDefault="001A4C16" w:rsidP="00FA624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A4C16" w:rsidRPr="001A4C16" w:rsidTr="00FA6249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4C16" w:rsidRPr="001A4C16" w:rsidRDefault="001A4C16" w:rsidP="00FA624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A4C16" w:rsidRPr="001A4C16" w:rsidRDefault="001A4C16" w:rsidP="00FA624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A4C16" w:rsidRPr="001A4C16" w:rsidTr="00FA6249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4C16" w:rsidRPr="001A4C16" w:rsidRDefault="001A4C16" w:rsidP="00FA6249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A4C16" w:rsidRPr="001A4C16" w:rsidRDefault="001A4C16" w:rsidP="00FA6249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C1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1A4C16" w:rsidRPr="001A4C16" w:rsidRDefault="001A4C16" w:rsidP="00FA62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4C16" w:rsidRPr="00047DFA" w:rsidTr="00FA6249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9576" w:type="dxa"/>
            <w:gridSpan w:val="3"/>
            <w:shd w:val="clear" w:color="auto" w:fill="auto"/>
          </w:tcPr>
          <w:p w:rsidR="001A4C16" w:rsidRPr="001A4C16" w:rsidRDefault="001A4C16" w:rsidP="00FA624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:rsidR="001A4C16" w:rsidRPr="001A4C16" w:rsidRDefault="001A4C16" w:rsidP="00FA6249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4C16" w:rsidRPr="00047DFA" w:rsidTr="00FA6249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9576" w:type="dxa"/>
            <w:gridSpan w:val="3"/>
            <w:shd w:val="clear" w:color="auto" w:fill="auto"/>
          </w:tcPr>
          <w:p w:rsidR="001A4C16" w:rsidRPr="001A4C16" w:rsidRDefault="001A4C16" w:rsidP="00FA6249">
            <w:pPr>
              <w:rPr>
                <w:rFonts w:ascii="Times New Roman" w:hAnsi="Times New Roman"/>
                <w:sz w:val="24"/>
                <w:szCs w:val="24"/>
              </w:rPr>
            </w:pPr>
            <w:r w:rsidRPr="001A4C1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A4C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shd w:val="clear" w:color="auto" w:fill="auto"/>
          </w:tcPr>
          <w:p w:rsidR="001A4C16" w:rsidRPr="001A4C16" w:rsidRDefault="001A4C16" w:rsidP="00FA6249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4C16" w:rsidRPr="00FC4E0C" w:rsidTr="00FA6249">
        <w:trPr>
          <w:trHeight w:val="2057"/>
        </w:trPr>
        <w:tc>
          <w:tcPr>
            <w:tcW w:w="10164" w:type="dxa"/>
            <w:gridSpan w:val="5"/>
            <w:shd w:val="clear" w:color="auto" w:fill="auto"/>
          </w:tcPr>
          <w:p w:rsidR="001A4C16" w:rsidRPr="001A4C16" w:rsidRDefault="001A4C16" w:rsidP="00FA6249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:rsidR="00FC4E0C" w:rsidRPr="00705826" w:rsidRDefault="00FC4E0C" w:rsidP="00FC4E0C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:rsidR="00FC4E0C" w:rsidRDefault="00FC4E0C" w:rsidP="00FC4E0C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Приказ Министра здравоохранения Республики Казахстан от 21.12. 2020 года № Қ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ДСМ-310/220 «Об утверждении Правил проведения биомедицинских исследований, и требований к исследовательским центрам»; </w:t>
            </w:r>
          </w:p>
          <w:p w:rsidR="00FC4E0C" w:rsidRDefault="00FC4E0C" w:rsidP="00FC4E0C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:rsidR="00FC4E0C" w:rsidRDefault="00FC4E0C" w:rsidP="00FC4E0C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2.1.4 Стандарт надлежащей лабораторной практики (GLP), Приложение 1 к Приказу  Министра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:rsidR="00FC4E0C" w:rsidRDefault="00FC4E0C" w:rsidP="00FC4E0C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:rsidR="00F81736" w:rsidRPr="0041352B" w:rsidRDefault="00F81736" w:rsidP="00FC4E0C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:rsidR="001A4C16" w:rsidRPr="001A4C16" w:rsidRDefault="001A4C16" w:rsidP="001A4C16">
            <w:pPr>
              <w:widowControl/>
              <w:numPr>
                <w:ilvl w:val="1"/>
                <w:numId w:val="19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:rsidR="001A4C16" w:rsidRPr="001A4C16" w:rsidRDefault="001A4C16" w:rsidP="00FA6249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1A4C16">
              <w:rPr>
                <w:bCs w:val="0"/>
                <w:lang w:eastAsia="ar-SA"/>
              </w:rPr>
              <w:t>2.3. Справочная информация</w:t>
            </w:r>
          </w:p>
          <w:p w:rsidR="00FC4E0C" w:rsidRDefault="00FC4E0C" w:rsidP="00FC4E0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:rsidR="00FC4E0C" w:rsidRDefault="00FC4E0C" w:rsidP="00FC4E0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Руководство ВОЗ для работы комитетов по этике, проводящих экспертизу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биомедицинских исследований TDR/PRD/ETHICS/2000.1;</w:t>
            </w:r>
          </w:p>
          <w:p w:rsidR="00FC4E0C" w:rsidRDefault="00FC4E0C" w:rsidP="00FC4E0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:rsidR="00FC4E0C" w:rsidRDefault="00FC4E0C" w:rsidP="00FC4E0C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:rsidR="00FC4E0C" w:rsidRDefault="00FC4E0C" w:rsidP="00FC4E0C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:rsidR="00FC4E0C" w:rsidRDefault="00FC4E0C" w:rsidP="00FC4E0C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:rsidR="00FC4E0C" w:rsidRDefault="00FC4E0C" w:rsidP="00FC4E0C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:rsidR="00FC4E0C" w:rsidRDefault="00FC4E0C" w:rsidP="00FC4E0C">
            <w:pPr>
              <w:pStyle w:val="ConsPlusTitle"/>
              <w:widowControl/>
              <w:autoSpaceDN/>
              <w:adjustRightInd/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  <w:r>
              <w:t xml:space="preserve"> </w:t>
            </w:r>
          </w:p>
          <w:p w:rsidR="00FC4E0C" w:rsidRDefault="00FC4E0C" w:rsidP="00FC4E0C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 w:rsidRPr="00FC4E0C">
              <w:rPr>
                <w:rFonts w:eastAsia="Calibri"/>
                <w:b w:val="0"/>
                <w:bCs w:val="0"/>
                <w:lang w:val="kk-KZ"/>
              </w:rPr>
              <w:t>2.3.9 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:rsidR="00FC4E0C" w:rsidRPr="001A4C16" w:rsidRDefault="00FC4E0C" w:rsidP="00FC4E0C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A4C16" w:rsidRPr="00047DFA" w:rsidTr="00FA6249">
        <w:tc>
          <w:tcPr>
            <w:tcW w:w="10164" w:type="dxa"/>
            <w:gridSpan w:val="5"/>
            <w:shd w:val="clear" w:color="auto" w:fill="auto"/>
          </w:tcPr>
          <w:p w:rsidR="001A4C16" w:rsidRPr="001A4C16" w:rsidRDefault="001A4C16" w:rsidP="00FA624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4C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:rsidR="001A4C16" w:rsidRPr="001A4C16" w:rsidRDefault="001A4C16" w:rsidP="00FA6249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4C16" w:rsidRPr="00FC4E0C" w:rsidTr="00FA6249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A4C1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tabs>
                <w:tab w:val="left" w:pos="3045"/>
                <w:tab w:val="center" w:pos="4677"/>
              </w:tabs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1A4C16" w:rsidRPr="001A4C16" w:rsidTr="00FA6249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4C1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</w:tc>
      </w:tr>
    </w:tbl>
    <w:p w:rsidR="001A4C16" w:rsidRDefault="001A4C16" w:rsidP="001A4C16">
      <w:pPr>
        <w:pStyle w:val="af0"/>
        <w:rPr>
          <w:sz w:val="24"/>
          <w:szCs w:val="24"/>
        </w:rPr>
      </w:pPr>
    </w:p>
    <w:p w:rsidR="001A4C16" w:rsidRPr="001A4C16" w:rsidRDefault="001A4C16" w:rsidP="001A4C16">
      <w:pPr>
        <w:pStyle w:val="af0"/>
        <w:rPr>
          <w:sz w:val="24"/>
          <w:szCs w:val="24"/>
        </w:rPr>
      </w:pPr>
      <w:r w:rsidRPr="001A4C16">
        <w:rPr>
          <w:sz w:val="24"/>
          <w:szCs w:val="24"/>
          <w:lang w:val="en-US"/>
        </w:rPr>
        <w:t>4</w:t>
      </w:r>
      <w:r w:rsidRPr="001A4C16">
        <w:rPr>
          <w:sz w:val="24"/>
          <w:szCs w:val="24"/>
        </w:rPr>
        <w:t>. СОДЕРЖАНИЕ СОП</w:t>
      </w:r>
    </w:p>
    <w:p w:rsidR="001A4C16" w:rsidRPr="001A4C16" w:rsidRDefault="001A4C16" w:rsidP="001A4C16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1A4C16" w:rsidRPr="001A4C16" w:rsidTr="00FA6249">
        <w:trPr>
          <w:trHeight w:val="275"/>
        </w:trPr>
        <w:tc>
          <w:tcPr>
            <w:tcW w:w="1687" w:type="dxa"/>
            <w:shd w:val="clear" w:color="auto" w:fill="auto"/>
          </w:tcPr>
          <w:p w:rsidR="001A4C16" w:rsidRPr="001A4C16" w:rsidRDefault="001A4C16" w:rsidP="00FA6249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:rsidR="001A4C16" w:rsidRPr="001A4C16" w:rsidRDefault="001A4C16" w:rsidP="00FA6249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1A4C16" w:rsidRPr="00FC4E0C" w:rsidTr="00FA6249">
        <w:trPr>
          <w:trHeight w:val="565"/>
        </w:trPr>
        <w:tc>
          <w:tcPr>
            <w:tcW w:w="1687" w:type="dxa"/>
            <w:shd w:val="clear" w:color="auto" w:fill="auto"/>
          </w:tcPr>
          <w:p w:rsidR="001A4C16" w:rsidRPr="001A4C16" w:rsidRDefault="001A4C16" w:rsidP="00FA6249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:rsidR="001A4C16" w:rsidRPr="001A4C16" w:rsidRDefault="001A4C16" w:rsidP="00FA624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определить, соответствует ли планируемое диссертационное исследование, включая изучение лекарственного средства или медицинской технологии, установленным этическим требованиям. Рассматриваются и выносятся заключения по представленным документам.</w:t>
            </w:r>
          </w:p>
          <w:p w:rsidR="001A4C16" w:rsidRPr="001A4C16" w:rsidRDefault="001A4C16" w:rsidP="00FA624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Область применения</w:t>
            </w: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: экспертиза проектов диссертационных работ, тематика которых связана с проведением биомедицинских исследований.</w:t>
            </w:r>
          </w:p>
          <w:p w:rsidR="001A4C16" w:rsidRPr="001A4C16" w:rsidRDefault="001A4C16" w:rsidP="00FA624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Ответственность: </w:t>
            </w: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лицо, проводящее экспертизу, ответственно за ее качество. </w:t>
            </w:r>
          </w:p>
          <w:p w:rsidR="001A4C16" w:rsidRPr="001A4C16" w:rsidRDefault="001A4C16" w:rsidP="00FA6249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В обязанности секретариата входит первичное ознакомление с документацией при приеме заявки от заявителя, регистрация получения документации в журнале, проверка соответствия представленных документов требованиям этического комитета, регистрация результатов полученных экспертиз, хранение документации.</w:t>
            </w:r>
          </w:p>
          <w:p w:rsidR="001A4C16" w:rsidRPr="001A4C16" w:rsidRDefault="001A4C16" w:rsidP="00FA6249">
            <w:pPr>
              <w:pStyle w:val="a7"/>
              <w:ind w:firstLine="7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C16">
              <w:rPr>
                <w:rFonts w:ascii="Times New Roman" w:hAnsi="Times New Roman"/>
                <w:sz w:val="24"/>
                <w:szCs w:val="24"/>
              </w:rPr>
              <w:t>Этическая экспертиза диссертационных работ проводится на заседании этического комитета по рассмотрению диссертационных работ.</w:t>
            </w:r>
          </w:p>
          <w:p w:rsidR="001A4C16" w:rsidRPr="001A4C16" w:rsidRDefault="001A4C16" w:rsidP="00FA6249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Решается вопрос о необходимости привлечения независимого консультанта в каждом конкретном случае.</w:t>
            </w:r>
          </w:p>
          <w:p w:rsidR="001A4C16" w:rsidRPr="001A4C16" w:rsidRDefault="001A4C16" w:rsidP="00FA6249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Заседания Бюро проводятся по мере необходимости, график работы утверждается Председателем. Информация о датах заседаний Бюро должна быть не позднее 5 дней до проведения заседания представлена на информационном стенде КЭ.</w:t>
            </w:r>
          </w:p>
          <w:p w:rsidR="001A4C16" w:rsidRPr="001A4C16" w:rsidRDefault="001A4C16" w:rsidP="00FA6249">
            <w:pPr>
              <w:pStyle w:val="a7"/>
              <w:ind w:firstLine="7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C16">
              <w:rPr>
                <w:rFonts w:ascii="Times New Roman" w:hAnsi="Times New Roman"/>
                <w:sz w:val="24"/>
                <w:szCs w:val="24"/>
              </w:rPr>
              <w:t>В случае, когда диссертационная работа не связана с существенным риском для участника биомедицинского исследования, является наблюдательной, эпидемиологической, социологической - возможно рассмотрение ее на заседании.  Бюро в случае, когда диссертационная работа связана с существенным риском для участника БМЭ или в случае отсутствия консенсуса при принятии решения, назначается независимый консультант и рассмотрение документов проводится на заседании этического комитета.</w:t>
            </w:r>
          </w:p>
          <w:p w:rsidR="001A4C16" w:rsidRPr="001A4C16" w:rsidRDefault="001A4C16" w:rsidP="00FA6249">
            <w:pPr>
              <w:pStyle w:val="ac"/>
              <w:jc w:val="both"/>
              <w:rPr>
                <w:sz w:val="24"/>
                <w:szCs w:val="24"/>
                <w:lang w:val="ru-RU"/>
              </w:rPr>
            </w:pPr>
            <w:r w:rsidRPr="001A4C16">
              <w:rPr>
                <w:sz w:val="24"/>
                <w:szCs w:val="24"/>
                <w:lang w:val="ru-RU"/>
              </w:rPr>
              <w:lastRenderedPageBreak/>
              <w:tab/>
              <w:t xml:space="preserve">Решение бюро принимается консенсусом. Решение бюро утверждается на последующем заседании </w:t>
            </w:r>
            <w:proofErr w:type="gramStart"/>
            <w:r w:rsidRPr="001A4C16">
              <w:rPr>
                <w:sz w:val="24"/>
                <w:szCs w:val="24"/>
                <w:lang w:val="ru-RU"/>
              </w:rPr>
              <w:t>ЭК</w:t>
            </w:r>
            <w:proofErr w:type="gramEnd"/>
            <w:r w:rsidRPr="001A4C16">
              <w:rPr>
                <w:sz w:val="24"/>
                <w:szCs w:val="24"/>
                <w:lang w:val="ru-RU"/>
              </w:rPr>
              <w:t>.</w:t>
            </w:r>
          </w:p>
          <w:p w:rsidR="001A4C16" w:rsidRPr="001A4C16" w:rsidRDefault="001A4C16" w:rsidP="00FA6249">
            <w:pPr>
              <w:pStyle w:val="ac"/>
              <w:ind w:firstLine="720"/>
              <w:jc w:val="both"/>
              <w:rPr>
                <w:sz w:val="24"/>
                <w:szCs w:val="24"/>
                <w:lang w:val="ru-RU"/>
              </w:rPr>
            </w:pPr>
            <w:r w:rsidRPr="001A4C16">
              <w:rPr>
                <w:sz w:val="24"/>
                <w:szCs w:val="24"/>
                <w:lang w:val="ru-RU"/>
              </w:rPr>
              <w:t>Заявитель подает в КЭ не менее чем за неделю до планируемого заседания  следующие документы:</w:t>
            </w:r>
          </w:p>
          <w:p w:rsidR="001A4C16" w:rsidRPr="001A4C16" w:rsidRDefault="001A4C16" w:rsidP="001A4C16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</w:tabs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Датированная заявка на проведение этической экспертизы, подписанная руководителем структурного подразделения, в котором будет выполняться данная работа (или руководителем работы) с указанием того, начат ли набор пациентов в исследование, на каком этапе находится работа. Обязательно должна быть указана  специальность, по которой планируется защита, статус диссертанта (аспирант/соискатель), место его постоянной работы.</w:t>
            </w:r>
          </w:p>
          <w:p w:rsidR="001A4C16" w:rsidRPr="001A4C16" w:rsidRDefault="001A4C16" w:rsidP="001A4C16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</w:tabs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Аннотация диссертационной работы, сведения об утверждении ее темы на заседании ученого Совета или проблемной комиссии.</w:t>
            </w:r>
          </w:p>
          <w:p w:rsidR="001A4C16" w:rsidRPr="001A4C16" w:rsidRDefault="001A4C16" w:rsidP="001A4C16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</w:tabs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планируемого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4C16" w:rsidRPr="001A4C16" w:rsidRDefault="001A4C16" w:rsidP="001A4C16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</w:tabs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Краткая аннотация на используемые лекарственные препараты, оригинальные методики, авторские модификации их.</w:t>
            </w:r>
          </w:p>
          <w:p w:rsidR="001A4C16" w:rsidRPr="001A4C16" w:rsidRDefault="001A4C16" w:rsidP="001A4C16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</w:tabs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Подписанные и датированные профессиональные автобиографии исследователя и его научного руководителя (-ей) (для докторантов – научного консультант</w:t>
            </w:r>
            <w:proofErr w:type="gramStart"/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)) с указанием контактных телефонов.</w:t>
            </w:r>
          </w:p>
          <w:p w:rsidR="001A4C16" w:rsidRPr="001A4C16" w:rsidRDefault="001A4C16" w:rsidP="001A4C16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</w:tabs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для пациента  и форма информированного согласия пациента, если предусмотрен набор детей, лиц с ограниченной дееспособностью – то информации для самих пациентов и их опекунов/родителей.</w:t>
            </w:r>
          </w:p>
          <w:p w:rsidR="001A4C16" w:rsidRPr="001A4C16" w:rsidRDefault="001A4C16" w:rsidP="00FA6249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Секретариат осуществляет регистрацию документов, подаваемых на рассмотрение. На заседании Бюро/комиссии или комитета этическая экспертиза представленных документов осуществляется путем коллегиального обсуждения и открытого голосования. </w:t>
            </w:r>
          </w:p>
          <w:p w:rsidR="001A4C16" w:rsidRPr="001A4C16" w:rsidRDefault="001A4C16" w:rsidP="00FA6249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Принятое решение фиксируется в протоколе заседания Бюро или протоколе заседания </w:t>
            </w:r>
            <w:proofErr w:type="gramStart"/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ЭК</w:t>
            </w:r>
            <w:proofErr w:type="gramEnd"/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В течение 10 рабочих дней секретариатом исследователю на руки выдается выписка из протокола, подписанная председателем и секретарем ЭК. </w:t>
            </w:r>
            <w:r w:rsidRPr="001A4C16">
              <w:rPr>
                <w:rFonts w:ascii="Times New Roman" w:hAnsi="Times New Roman"/>
                <w:sz w:val="24"/>
                <w:szCs w:val="24"/>
              </w:rPr>
              <w:t xml:space="preserve">ЭК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своем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заседании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принимает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одно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следующих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</w:rPr>
              <w:t>решений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4C16" w:rsidRPr="001A4C16" w:rsidRDefault="001A4C16" w:rsidP="001A4C16">
            <w:pPr>
              <w:numPr>
                <w:ilvl w:val="0"/>
                <w:numId w:val="34"/>
              </w:numPr>
              <w:tabs>
                <w:tab w:val="clear" w:pos="720"/>
                <w:tab w:val="num" w:pos="0"/>
              </w:tabs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Одобрить проведение исследования без замечаний.</w:t>
            </w:r>
          </w:p>
          <w:p w:rsidR="001A4C16" w:rsidRPr="001A4C16" w:rsidRDefault="001A4C16" w:rsidP="001A4C16">
            <w:pPr>
              <w:numPr>
                <w:ilvl w:val="0"/>
                <w:numId w:val="34"/>
              </w:numPr>
              <w:tabs>
                <w:tab w:val="clear" w:pos="720"/>
                <w:tab w:val="num" w:pos="0"/>
              </w:tabs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Одобрить проведение исследования с замечаниями без повторного рассмотрения при условии ответов на поставленные вопросы и внесения рекомендуемых изменений и/или дополнений в рабочем порядке. В этом случае дополнительная информация должна быть одобрена председателем или заместителем председателя этического комитета и передана в секретариат как обязательное условие выдачи выписки.</w:t>
            </w:r>
          </w:p>
          <w:p w:rsidR="001A4C16" w:rsidRPr="001A4C16" w:rsidRDefault="001A4C16" w:rsidP="001A4C16">
            <w:pPr>
              <w:numPr>
                <w:ilvl w:val="0"/>
                <w:numId w:val="34"/>
              </w:numPr>
              <w:tabs>
                <w:tab w:val="clear" w:pos="720"/>
                <w:tab w:val="num" w:pos="0"/>
              </w:tabs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Повторно рассмотреть на заседании </w:t>
            </w:r>
            <w:proofErr w:type="gramStart"/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ЭК</w:t>
            </w:r>
            <w:proofErr w:type="gramEnd"/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 внесения изменений в процедуры и материалы исследования. </w:t>
            </w:r>
          </w:p>
          <w:p w:rsidR="001A4C16" w:rsidRPr="001A4C16" w:rsidRDefault="001A4C16" w:rsidP="001A4C16">
            <w:pPr>
              <w:numPr>
                <w:ilvl w:val="0"/>
                <w:numId w:val="34"/>
              </w:numPr>
              <w:tabs>
                <w:tab w:val="clear" w:pos="720"/>
                <w:tab w:val="num" w:pos="0"/>
              </w:tabs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Не разрешить проведение исследования (с указанием причин отказа).</w:t>
            </w:r>
          </w:p>
          <w:p w:rsidR="001A4C16" w:rsidRPr="001A4C16" w:rsidRDefault="001A4C16" w:rsidP="001A4C16">
            <w:pPr>
              <w:numPr>
                <w:ilvl w:val="0"/>
                <w:numId w:val="34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Секретариат </w:t>
            </w:r>
            <w:proofErr w:type="gramStart"/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>ЭК</w:t>
            </w:r>
            <w:proofErr w:type="gramEnd"/>
            <w:r w:rsidRPr="001A4C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обеспечивает архивирование документов по диссертационным работам, протоколов всех заседаний (ЭК, Бюро/комиссии).</w:t>
            </w:r>
          </w:p>
          <w:p w:rsidR="001A4C16" w:rsidRPr="001A4C16" w:rsidRDefault="001A4C16" w:rsidP="00FA6249">
            <w:pPr>
              <w:tabs>
                <w:tab w:val="num" w:pos="0"/>
              </w:tabs>
              <w:ind w:firstLine="3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A4C16" w:rsidRPr="001A4C16" w:rsidRDefault="001A4C16" w:rsidP="00FA6249">
            <w:pPr>
              <w:tabs>
                <w:tab w:val="left" w:pos="825"/>
              </w:tabs>
              <w:ind w:left="14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A4C16" w:rsidRPr="001A4C16" w:rsidRDefault="001A4C16" w:rsidP="001A4C16">
      <w:pPr>
        <w:tabs>
          <w:tab w:val="left" w:pos="825"/>
        </w:tabs>
        <w:rPr>
          <w:rFonts w:ascii="Times New Roman" w:hAnsi="Times New Roman"/>
          <w:sz w:val="24"/>
          <w:szCs w:val="24"/>
          <w:lang w:val="ru-RU"/>
        </w:rPr>
      </w:pPr>
    </w:p>
    <w:p w:rsidR="001A4C16" w:rsidRPr="001A4C16" w:rsidRDefault="001A4C16" w:rsidP="001A4C16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1A4C16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:rsidR="001A4C16" w:rsidRPr="001A4C16" w:rsidRDefault="001A4C16" w:rsidP="001A4C16">
      <w:pPr>
        <w:pStyle w:val="ac"/>
        <w:rPr>
          <w:kern w:val="29"/>
          <w:sz w:val="24"/>
          <w:szCs w:val="24"/>
          <w:lang w:val="ru-RU"/>
        </w:rPr>
      </w:pPr>
      <w:r w:rsidRPr="001A4C16">
        <w:rPr>
          <w:kern w:val="29"/>
          <w:sz w:val="24"/>
          <w:szCs w:val="24"/>
          <w:lang w:val="ru-RU"/>
        </w:rPr>
        <w:lastRenderedPageBreak/>
        <w:t>Приложение 1. Лист регистрации изменений</w:t>
      </w:r>
    </w:p>
    <w:p w:rsidR="001A4C16" w:rsidRPr="00FC4E0C" w:rsidRDefault="001A4C16" w:rsidP="001A4C16">
      <w:pPr>
        <w:pStyle w:val="ac"/>
        <w:rPr>
          <w:kern w:val="29"/>
          <w:sz w:val="24"/>
          <w:szCs w:val="24"/>
          <w:lang w:val="ru-RU"/>
        </w:rPr>
      </w:pPr>
      <w:r w:rsidRPr="001A4C16">
        <w:rPr>
          <w:kern w:val="29"/>
          <w:sz w:val="24"/>
          <w:szCs w:val="24"/>
          <w:lang w:val="ru-RU"/>
        </w:rPr>
        <w:t xml:space="preserve">Приложение 2. </w:t>
      </w:r>
      <w:r w:rsidRPr="00FC4E0C">
        <w:rPr>
          <w:kern w:val="29"/>
          <w:sz w:val="24"/>
          <w:szCs w:val="24"/>
          <w:lang w:val="ru-RU"/>
        </w:rPr>
        <w:t>Лист ознакомления сотрудников с СОП</w:t>
      </w:r>
    </w:p>
    <w:p w:rsidR="001A4C16" w:rsidRPr="00FC4E0C" w:rsidRDefault="001A4C16" w:rsidP="001A4C16">
      <w:pPr>
        <w:pStyle w:val="ac"/>
        <w:jc w:val="right"/>
        <w:rPr>
          <w:b/>
          <w:sz w:val="24"/>
          <w:szCs w:val="24"/>
          <w:lang w:val="ru-RU"/>
        </w:rPr>
      </w:pPr>
      <w:r w:rsidRPr="00FC4E0C">
        <w:rPr>
          <w:sz w:val="24"/>
          <w:szCs w:val="24"/>
          <w:lang w:val="ru-RU"/>
        </w:rPr>
        <w:br w:type="page"/>
      </w:r>
      <w:r w:rsidRPr="00FC4E0C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:rsidR="001A4C16" w:rsidRPr="001A4C16" w:rsidRDefault="001A4C16" w:rsidP="001A4C16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A4C16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1A4C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A4C16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1A4C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A4C16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1A4C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A4C16" w:rsidRPr="001A4C16" w:rsidRDefault="001A4C16" w:rsidP="001A4C16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559"/>
        <w:gridCol w:w="992"/>
        <w:gridCol w:w="1418"/>
        <w:gridCol w:w="1417"/>
        <w:gridCol w:w="1320"/>
        <w:gridCol w:w="1515"/>
      </w:tblGrid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:rsidR="001A4C16" w:rsidRPr="001A4C16" w:rsidRDefault="001A4C16" w:rsidP="00FA6249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C1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C16" w:rsidRPr="001A4C16" w:rsidTr="00FA6249">
        <w:tc>
          <w:tcPr>
            <w:tcW w:w="675" w:type="dxa"/>
          </w:tcPr>
          <w:p w:rsidR="001A4C16" w:rsidRPr="001A4C16" w:rsidRDefault="001A4C16" w:rsidP="00FA6249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1A4C16" w:rsidRPr="001A4C16" w:rsidRDefault="001A4C16" w:rsidP="00FA6249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A4C16" w:rsidRPr="001A4C16" w:rsidRDefault="001A4C16" w:rsidP="001A4C16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:rsidR="001A4C16" w:rsidRPr="001A4C16" w:rsidRDefault="001A4C16" w:rsidP="001A4C16">
      <w:pPr>
        <w:pStyle w:val="ac"/>
        <w:jc w:val="right"/>
        <w:rPr>
          <w:b/>
          <w:sz w:val="24"/>
          <w:szCs w:val="24"/>
        </w:rPr>
      </w:pPr>
      <w:r w:rsidRPr="001A4C16">
        <w:rPr>
          <w:sz w:val="24"/>
          <w:szCs w:val="24"/>
          <w:lang w:eastAsia="ru-RU"/>
        </w:rPr>
        <w:br w:type="page"/>
      </w:r>
      <w:proofErr w:type="spellStart"/>
      <w:r w:rsidRPr="001A4C16">
        <w:rPr>
          <w:b/>
          <w:sz w:val="24"/>
          <w:szCs w:val="24"/>
          <w:lang w:eastAsia="ru-RU"/>
        </w:rPr>
        <w:lastRenderedPageBreak/>
        <w:t>Приложение</w:t>
      </w:r>
      <w:proofErr w:type="spellEnd"/>
      <w:r w:rsidRPr="001A4C16">
        <w:rPr>
          <w:b/>
          <w:sz w:val="24"/>
          <w:szCs w:val="24"/>
          <w:lang w:eastAsia="ru-RU"/>
        </w:rPr>
        <w:t xml:space="preserve"> 2</w:t>
      </w:r>
    </w:p>
    <w:p w:rsidR="001A4C16" w:rsidRPr="001A4C16" w:rsidRDefault="001A4C16" w:rsidP="001A4C1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A4C16">
        <w:rPr>
          <w:rFonts w:ascii="Times New Roman" w:hAnsi="Times New Roman"/>
          <w:b/>
          <w:sz w:val="24"/>
          <w:szCs w:val="24"/>
        </w:rPr>
        <w:t>Лист</w:t>
      </w:r>
      <w:proofErr w:type="spellEnd"/>
      <w:r w:rsidRPr="001A4C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4C16">
        <w:rPr>
          <w:rFonts w:ascii="Times New Roman" w:hAnsi="Times New Roman"/>
          <w:b/>
          <w:sz w:val="24"/>
          <w:szCs w:val="24"/>
        </w:rPr>
        <w:t>ознакомления</w:t>
      </w:r>
      <w:proofErr w:type="spellEnd"/>
      <w:r w:rsidRPr="001A4C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4C16">
        <w:rPr>
          <w:rFonts w:ascii="Times New Roman" w:hAnsi="Times New Roman"/>
          <w:b/>
          <w:sz w:val="24"/>
          <w:szCs w:val="24"/>
        </w:rPr>
        <w:t>сотрудников</w:t>
      </w:r>
      <w:proofErr w:type="spellEnd"/>
      <w:r w:rsidRPr="001A4C16">
        <w:rPr>
          <w:rFonts w:ascii="Times New Roman" w:hAnsi="Times New Roman"/>
          <w:b/>
          <w:sz w:val="24"/>
          <w:szCs w:val="24"/>
        </w:rPr>
        <w:t xml:space="preserve"> с СОП</w:t>
      </w:r>
    </w:p>
    <w:p w:rsidR="001A4C16" w:rsidRPr="001A4C16" w:rsidRDefault="001A4C16" w:rsidP="001A4C16">
      <w:pPr>
        <w:pStyle w:val="ac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381"/>
        <w:gridCol w:w="1871"/>
      </w:tblGrid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A4C1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C16" w:rsidRPr="001A4C16" w:rsidTr="00FA62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1A4C16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C16" w:rsidRPr="001A4C16" w:rsidRDefault="001A4C16" w:rsidP="00FA624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C16" w:rsidRPr="001A4C16" w:rsidRDefault="001A4C16" w:rsidP="001A4C1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A4C16" w:rsidRPr="001A4C16" w:rsidRDefault="001A4C16" w:rsidP="001A4C1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A121D" w:rsidRPr="001A4C16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1A4C16" w:rsidSect="00E62E83">
      <w:headerReference w:type="default" r:id="rId10"/>
      <w:headerReference w:type="first" r:id="rId11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4F" w:rsidRDefault="00D9504F" w:rsidP="00E62E83">
      <w:r>
        <w:separator/>
      </w:r>
    </w:p>
  </w:endnote>
  <w:endnote w:type="continuationSeparator" w:id="0">
    <w:p w:rsidR="00D9504F" w:rsidRDefault="00D9504F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4F" w:rsidRDefault="00D9504F" w:rsidP="00E62E83">
      <w:r>
        <w:separator/>
      </w:r>
    </w:p>
  </w:footnote>
  <w:footnote w:type="continuationSeparator" w:id="0">
    <w:p w:rsidR="00D9504F" w:rsidRDefault="00D9504F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5360F9" w:rsidRPr="00C73D79" w:rsidRDefault="005360F9" w:rsidP="005360F9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</w:p>
        <w:p w:rsidR="005360F9" w:rsidRPr="00C73D79" w:rsidRDefault="005360F9" w:rsidP="005360F9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Экспертиза диссертационных работ</w:t>
          </w: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»</w:t>
          </w:r>
        </w:p>
        <w:p w:rsidR="005360F9" w:rsidRPr="00C73D79" w:rsidRDefault="005360F9" w:rsidP="005360F9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</w:p>
        <w:p w:rsidR="002A121D" w:rsidRPr="00C73D79" w:rsidRDefault="002A121D" w:rsidP="00C73D79">
          <w:pPr>
            <w:tabs>
              <w:tab w:val="center" w:pos="4677"/>
              <w:tab w:val="right" w:pos="9355"/>
            </w:tabs>
            <w:suppressAutoHyphens/>
            <w:ind w:hanging="18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2A121D" w:rsidRPr="00727AD0" w:rsidRDefault="00727AD0" w:rsidP="005360F9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2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6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10</w:t>
          </w:r>
        </w:p>
      </w:tc>
    </w:tr>
    <w:tr w:rsidR="002A121D" w:rsidRPr="00BD423D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F81736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1736" w:rsidRPr="00F81736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7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79" w:rsidRDefault="00C73D79">
    <w:pPr>
      <w:pStyle w:val="a3"/>
    </w:pPr>
  </w:p>
  <w:p w:rsidR="00C73D79" w:rsidRDefault="00C73D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B8B10A"/>
    <w:lvl w:ilvl="0">
      <w:numFmt w:val="decimal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A144C59"/>
    <w:multiLevelType w:val="hybridMultilevel"/>
    <w:tmpl w:val="4E56CCC6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C83EE5"/>
    <w:multiLevelType w:val="hybridMultilevel"/>
    <w:tmpl w:val="4A5C0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0536E"/>
    <w:multiLevelType w:val="multilevel"/>
    <w:tmpl w:val="E1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93358"/>
    <w:multiLevelType w:val="hybridMultilevel"/>
    <w:tmpl w:val="0AD262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6C1256C"/>
    <w:multiLevelType w:val="hybridMultilevel"/>
    <w:tmpl w:val="9F122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65E88"/>
    <w:multiLevelType w:val="hybridMultilevel"/>
    <w:tmpl w:val="ADAE7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5B292D"/>
    <w:multiLevelType w:val="hybridMultilevel"/>
    <w:tmpl w:val="27AE994C"/>
    <w:lvl w:ilvl="0" w:tplc="D6E80E0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F1525C"/>
    <w:multiLevelType w:val="hybridMultilevel"/>
    <w:tmpl w:val="BB42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03E42"/>
    <w:multiLevelType w:val="hybridMultilevel"/>
    <w:tmpl w:val="47D416C0"/>
    <w:lvl w:ilvl="0" w:tplc="04190011">
      <w:start w:val="1"/>
      <w:numFmt w:val="decimal"/>
      <w:lvlText w:val="%1)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1">
    <w:nsid w:val="208A78E0"/>
    <w:multiLevelType w:val="singleLevel"/>
    <w:tmpl w:val="F7BC8A5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cs="Times New Roman" w:hint="default"/>
      </w:rPr>
    </w:lvl>
  </w:abstractNum>
  <w:abstractNum w:abstractNumId="12">
    <w:nsid w:val="23495BC5"/>
    <w:multiLevelType w:val="singleLevel"/>
    <w:tmpl w:val="8850092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Times New Roman" w:hAnsi="Symbol" w:hint="default"/>
        <w:sz w:val="16"/>
        <w:szCs w:val="16"/>
        <w:cs w:val="0"/>
        <w:lang w:bidi="th-TH"/>
      </w:rPr>
    </w:lvl>
  </w:abstractNum>
  <w:abstractNum w:abstractNumId="13">
    <w:nsid w:val="2A61088A"/>
    <w:multiLevelType w:val="hybridMultilevel"/>
    <w:tmpl w:val="06CC38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D7B767D"/>
    <w:multiLevelType w:val="multilevel"/>
    <w:tmpl w:val="E7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565704"/>
    <w:multiLevelType w:val="hybridMultilevel"/>
    <w:tmpl w:val="1DCC5B3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506222"/>
    <w:multiLevelType w:val="hybridMultilevel"/>
    <w:tmpl w:val="DF4C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5C2580"/>
    <w:multiLevelType w:val="hybridMultilevel"/>
    <w:tmpl w:val="A9163CBC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>
    <w:nsid w:val="4F315BBD"/>
    <w:multiLevelType w:val="hybridMultilevel"/>
    <w:tmpl w:val="39D87464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3F819AA"/>
    <w:multiLevelType w:val="hybridMultilevel"/>
    <w:tmpl w:val="6A386F5E"/>
    <w:lvl w:ilvl="0" w:tplc="8DA20AB6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823A87"/>
    <w:multiLevelType w:val="multilevel"/>
    <w:tmpl w:val="CC1CCF16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FD25C8"/>
    <w:multiLevelType w:val="hybridMultilevel"/>
    <w:tmpl w:val="46B04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B47D0D"/>
    <w:multiLevelType w:val="hybridMultilevel"/>
    <w:tmpl w:val="6AE8D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8C2B49"/>
    <w:multiLevelType w:val="multilevel"/>
    <w:tmpl w:val="747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BA10FF"/>
    <w:multiLevelType w:val="hybridMultilevel"/>
    <w:tmpl w:val="8DF2E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CA6229"/>
    <w:multiLevelType w:val="multilevel"/>
    <w:tmpl w:val="FB46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92952"/>
    <w:multiLevelType w:val="hybridMultilevel"/>
    <w:tmpl w:val="D7B26BF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11D69"/>
    <w:multiLevelType w:val="hybridMultilevel"/>
    <w:tmpl w:val="EA766068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5E34EFD"/>
    <w:multiLevelType w:val="hybridMultilevel"/>
    <w:tmpl w:val="082A9D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B0F8943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9854109"/>
    <w:multiLevelType w:val="hybridMultilevel"/>
    <w:tmpl w:val="6BD6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D51DAF"/>
    <w:multiLevelType w:val="hybridMultilevel"/>
    <w:tmpl w:val="D7847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27"/>
  </w:num>
  <w:num w:numId="5">
    <w:abstractNumId w:val="2"/>
  </w:num>
  <w:num w:numId="6">
    <w:abstractNumId w:val="28"/>
  </w:num>
  <w:num w:numId="7">
    <w:abstractNumId w:val="15"/>
  </w:num>
  <w:num w:numId="8">
    <w:abstractNumId w:val="17"/>
  </w:num>
  <w:num w:numId="9">
    <w:abstractNumId w:val="10"/>
  </w:num>
  <w:num w:numId="10">
    <w:abstractNumId w:val="6"/>
  </w:num>
  <w:num w:numId="11">
    <w:abstractNumId w:val="25"/>
  </w:num>
  <w:num w:numId="12">
    <w:abstractNumId w:val="14"/>
  </w:num>
  <w:num w:numId="13">
    <w:abstractNumId w:val="4"/>
  </w:num>
  <w:num w:numId="14">
    <w:abstractNumId w:val="23"/>
  </w:num>
  <w:num w:numId="15">
    <w:abstractNumId w:val="26"/>
  </w:num>
  <w:num w:numId="16">
    <w:abstractNumId w:val="9"/>
  </w:num>
  <w:num w:numId="17">
    <w:abstractNumId w:val="20"/>
  </w:num>
  <w:num w:numId="18">
    <w:abstractNumId w:val="1"/>
  </w:num>
  <w:num w:numId="19">
    <w:abstractNumId w:val="29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9"/>
  </w:num>
  <w:num w:numId="22">
    <w:abstractNumId w:val="24"/>
  </w:num>
  <w:num w:numId="23">
    <w:abstractNumId w:val="12"/>
  </w:num>
  <w:num w:numId="24">
    <w:abstractNumId w:val="7"/>
  </w:num>
  <w:num w:numId="25">
    <w:abstractNumId w:val="30"/>
  </w:num>
  <w:num w:numId="26">
    <w:abstractNumId w:val="3"/>
  </w:num>
  <w:num w:numId="27">
    <w:abstractNumId w:val="8"/>
  </w:num>
  <w:num w:numId="28">
    <w:abstractNumId w:val="2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1"/>
  </w:num>
  <w:num w:numId="31">
    <w:abstractNumId w:val="16"/>
  </w:num>
  <w:num w:numId="32">
    <w:abstractNumId w:val="1"/>
    <w:lvlOverride w:ilvl="0">
      <w:startOverride w:val="1"/>
    </w:lvlOverride>
  </w:num>
  <w:num w:numId="33">
    <w:abstractNumId w:val="21"/>
  </w:num>
  <w:num w:numId="34">
    <w:abstractNumId w:val="31"/>
  </w:num>
  <w:num w:numId="35">
    <w:abstractNumId w:val="21"/>
  </w:num>
  <w:num w:numId="36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A1"/>
    <w:rsid w:val="000053B9"/>
    <w:rsid w:val="000413A0"/>
    <w:rsid w:val="00095CE8"/>
    <w:rsid w:val="000A03C9"/>
    <w:rsid w:val="000A68F4"/>
    <w:rsid w:val="000A6A9C"/>
    <w:rsid w:val="000B3A28"/>
    <w:rsid w:val="000B63F6"/>
    <w:rsid w:val="001163A7"/>
    <w:rsid w:val="0013150E"/>
    <w:rsid w:val="00134947"/>
    <w:rsid w:val="00172B4A"/>
    <w:rsid w:val="0018220B"/>
    <w:rsid w:val="001A4C16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14732"/>
    <w:rsid w:val="004A0426"/>
    <w:rsid w:val="004A1C0B"/>
    <w:rsid w:val="004E1540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640F7C"/>
    <w:rsid w:val="00641641"/>
    <w:rsid w:val="00664365"/>
    <w:rsid w:val="00664D67"/>
    <w:rsid w:val="00672A43"/>
    <w:rsid w:val="006760CC"/>
    <w:rsid w:val="00676AFF"/>
    <w:rsid w:val="006A35CE"/>
    <w:rsid w:val="006F025A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2595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66842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53FA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9397F"/>
    <w:rsid w:val="00D942B1"/>
    <w:rsid w:val="00D9504F"/>
    <w:rsid w:val="00DA1CE0"/>
    <w:rsid w:val="00DB29F4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A4C"/>
    <w:rsid w:val="00F81736"/>
    <w:rsid w:val="00FA4FB9"/>
    <w:rsid w:val="00FC0DA9"/>
    <w:rsid w:val="00FC4E0C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923C1-41C8-42EF-9799-03618555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Smart</cp:lastModifiedBy>
  <cp:revision>6</cp:revision>
  <cp:lastPrinted>2025-07-22T04:39:00Z</cp:lastPrinted>
  <dcterms:created xsi:type="dcterms:W3CDTF">2025-07-29T13:37:00Z</dcterms:created>
  <dcterms:modified xsi:type="dcterms:W3CDTF">2025-10-30T06:08:00Z</dcterms:modified>
</cp:coreProperties>
</file>